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6F2819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1BE84D13" w:rsidR="000312EE" w:rsidRPr="000C3278" w:rsidRDefault="000312EE" w:rsidP="00580071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2D0553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5930FC">
              <w:rPr>
                <w:b/>
                <w:color w:val="FFFFFF"/>
                <w:sz w:val="18"/>
                <w:lang w:bidi="x-none"/>
              </w:rPr>
              <w:t xml:space="preserve">MEDEWERKER </w:t>
            </w:r>
            <w:r w:rsidR="001C7F41">
              <w:rPr>
                <w:b/>
                <w:color w:val="FFFFFF"/>
                <w:sz w:val="18"/>
                <w:lang w:bidi="x-none"/>
              </w:rPr>
              <w:t>ORDER</w:t>
            </w:r>
            <w:r w:rsidR="005930FC">
              <w:rPr>
                <w:b/>
                <w:color w:val="FFFFFF"/>
                <w:sz w:val="18"/>
                <w:lang w:bidi="x-none"/>
              </w:rPr>
              <w:t xml:space="preserve"> ENTRY</w:t>
            </w:r>
          </w:p>
        </w:tc>
      </w:tr>
      <w:tr w:rsidR="000312EE" w:rsidRPr="000C3278" w14:paraId="660915A4" w14:textId="77777777" w:rsidTr="006F2819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580071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0B18A07" w14:textId="6A78227B" w:rsidR="000312EE" w:rsidRPr="00CA7AD0" w:rsidRDefault="00EA7842" w:rsidP="00580071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>
              <w:rPr>
                <w:color w:val="auto"/>
                <w:sz w:val="16"/>
                <w:lang w:bidi="x-none"/>
              </w:rPr>
              <w:t xml:space="preserve">De medewerker order entry komt met name voor bij (middel)grote bedrijven. De medewerker order entry is gericht op het aannemen en </w:t>
            </w:r>
            <w:r w:rsidR="004577BA">
              <w:rPr>
                <w:color w:val="auto"/>
                <w:sz w:val="16"/>
                <w:lang w:bidi="x-none"/>
              </w:rPr>
              <w:t>verwerken</w:t>
            </w:r>
            <w:r>
              <w:rPr>
                <w:color w:val="auto"/>
                <w:sz w:val="16"/>
                <w:lang w:bidi="x-none"/>
              </w:rPr>
              <w:t xml:space="preserve"> </w:t>
            </w:r>
            <w:r w:rsidR="004577BA">
              <w:rPr>
                <w:color w:val="auto"/>
                <w:sz w:val="16"/>
                <w:lang w:bidi="x-none"/>
              </w:rPr>
              <w:t xml:space="preserve">van bestellingen </w:t>
            </w:r>
            <w:r>
              <w:rPr>
                <w:color w:val="auto"/>
                <w:sz w:val="16"/>
                <w:lang w:bidi="x-none"/>
              </w:rPr>
              <w:t xml:space="preserve">van klanten. </w:t>
            </w:r>
            <w:r w:rsidR="004577BA">
              <w:rPr>
                <w:color w:val="auto"/>
                <w:sz w:val="16"/>
                <w:lang w:bidi="x-none"/>
              </w:rPr>
              <w:t xml:space="preserve">Hij maakt daarbij gebruik van een ERP-pakket, via welk systeem hij de gegevens kan invoeren en toegang heeft tot </w:t>
            </w:r>
            <w:proofErr w:type="spellStart"/>
            <w:r w:rsidR="004577BA">
              <w:rPr>
                <w:color w:val="auto"/>
                <w:sz w:val="16"/>
                <w:lang w:bidi="x-none"/>
              </w:rPr>
              <w:t>klantspecifieke</w:t>
            </w:r>
            <w:proofErr w:type="spellEnd"/>
            <w:r w:rsidR="004577BA">
              <w:rPr>
                <w:color w:val="auto"/>
                <w:sz w:val="16"/>
                <w:lang w:bidi="x-none"/>
              </w:rPr>
              <w:t xml:space="preserve"> afspraken. Functiehouder informeert klanten over de stand van zaken met betrekking tot bestellingen.</w:t>
            </w:r>
          </w:p>
        </w:tc>
      </w:tr>
      <w:tr w:rsidR="000312EE" w:rsidRPr="000C3278" w14:paraId="12887D05" w14:textId="77777777" w:rsidTr="006F2819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580071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21EB0BA7" w:rsidR="000312EE" w:rsidRPr="00CA7AD0" w:rsidRDefault="000312EE" w:rsidP="00580071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Direct leidinggevende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  <w:t>vakinhoudelijk leidinggevende.</w:t>
            </w:r>
          </w:p>
          <w:p w14:paraId="2B706968" w14:textId="60562948" w:rsidR="000312EE" w:rsidRPr="000C3278" w:rsidRDefault="000312EE" w:rsidP="00580071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Geeft leiding aan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r w:rsidR="002D0553">
              <w:rPr>
                <w:color w:val="auto"/>
                <w:sz w:val="16"/>
                <w:lang w:bidi="x-none"/>
              </w:rPr>
              <w:t>niet van toepassing</w:t>
            </w:r>
            <w:r w:rsidRPr="00CA7AD0">
              <w:rPr>
                <w:color w:val="auto"/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6F2819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580071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580071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580071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2D0553" w:rsidRPr="000C3278" w14:paraId="353DF1E1" w14:textId="77777777" w:rsidTr="006F2819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394A17D0" w:rsidR="002D0553" w:rsidRPr="00CA7AD0" w:rsidRDefault="002D0553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1.</w:t>
            </w:r>
            <w:r w:rsidRPr="00C661E4">
              <w:rPr>
                <w:color w:val="auto"/>
                <w:sz w:val="16"/>
              </w:rPr>
              <w:tab/>
            </w:r>
            <w:r w:rsidR="00207C07">
              <w:rPr>
                <w:color w:val="auto"/>
                <w:sz w:val="16"/>
              </w:rPr>
              <w:t>Orderverwerking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B34AF50" w14:textId="6A804E44" w:rsidR="006F09F3" w:rsidRPr="00CA7AD0" w:rsidRDefault="002D0553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-</w:t>
            </w:r>
            <w:r w:rsidRPr="00C661E4">
              <w:rPr>
                <w:color w:val="auto"/>
                <w:sz w:val="16"/>
              </w:rPr>
              <w:tab/>
            </w:r>
            <w:r w:rsidR="00EA7842">
              <w:rPr>
                <w:color w:val="auto"/>
                <w:sz w:val="16"/>
              </w:rPr>
              <w:t>in ontvangst nemen van</w:t>
            </w:r>
            <w:r w:rsidR="003113BF">
              <w:rPr>
                <w:color w:val="auto"/>
                <w:sz w:val="16"/>
              </w:rPr>
              <w:t xml:space="preserve"> </w:t>
            </w:r>
            <w:r w:rsidR="00EA7842">
              <w:rPr>
                <w:color w:val="auto"/>
                <w:sz w:val="16"/>
              </w:rPr>
              <w:t xml:space="preserve">bestellingen van klanten via telefoon, e-mail of anderszins; </w:t>
            </w:r>
          </w:p>
          <w:p w14:paraId="3C409B18" w14:textId="158AB220" w:rsidR="003113BF" w:rsidRDefault="00EA7842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nagaan van commerciële condities, klantafspraken en/of speciale acties</w:t>
            </w:r>
            <w:r w:rsidR="00C96E97">
              <w:rPr>
                <w:color w:val="auto"/>
                <w:sz w:val="16"/>
              </w:rPr>
              <w:t>, invoeren van bestellingen in het systeem;</w:t>
            </w:r>
          </w:p>
          <w:p w14:paraId="794F00D2" w14:textId="04E03744" w:rsidR="002D0553" w:rsidRDefault="00207C07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signaleren van afwijkingen</w:t>
            </w:r>
            <w:r w:rsidR="00EA7842">
              <w:rPr>
                <w:color w:val="auto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>t.o.v. afspraken, zo nodig afstemmen met intern belanghebbenden;</w:t>
            </w:r>
          </w:p>
          <w:p w14:paraId="28B4E3AD" w14:textId="7E5F082C" w:rsidR="003113BF" w:rsidRDefault="003113BF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navragen van ontbrekende gegevens/onduidelijkheden bij de klant;</w:t>
            </w:r>
          </w:p>
          <w:p w14:paraId="6F37A8AB" w14:textId="241B0BE7" w:rsidR="00207C07" w:rsidRPr="00CA7AD0" w:rsidRDefault="00207C07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invoeren van orders in het systeem</w:t>
            </w:r>
            <w:r w:rsidR="003113BF">
              <w:rPr>
                <w:color w:val="auto"/>
                <w:sz w:val="16"/>
              </w:rPr>
              <w:t xml:space="preserve"> en versturen van orderbevestigingen</w:t>
            </w:r>
            <w:r>
              <w:rPr>
                <w:color w:val="auto"/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04A1A46" w14:textId="346EF2CB" w:rsidR="006F09F3" w:rsidRDefault="002D0553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-</w:t>
            </w:r>
            <w:r w:rsidRPr="00C661E4">
              <w:rPr>
                <w:color w:val="auto"/>
                <w:sz w:val="16"/>
              </w:rPr>
              <w:tab/>
            </w:r>
            <w:r w:rsidR="004577BA">
              <w:rPr>
                <w:color w:val="auto"/>
                <w:sz w:val="16"/>
              </w:rPr>
              <w:t>tijdige, juiste, volledige verwerking orders;</w:t>
            </w:r>
          </w:p>
          <w:p w14:paraId="5B6AD907" w14:textId="77777777" w:rsidR="003113BF" w:rsidRDefault="004577BA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aantal en omvang niet-gesignaleerde afwijkingen</w:t>
            </w:r>
            <w:r w:rsidR="003113BF">
              <w:rPr>
                <w:color w:val="auto"/>
                <w:sz w:val="16"/>
              </w:rPr>
              <w:t>;</w:t>
            </w:r>
          </w:p>
          <w:p w14:paraId="1F652C97" w14:textId="507B4A2B" w:rsidR="004577BA" w:rsidRPr="00CA7AD0" w:rsidRDefault="003113BF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conform werkprocedures</w:t>
            </w:r>
            <w:r w:rsidR="004577BA">
              <w:rPr>
                <w:color w:val="auto"/>
                <w:sz w:val="16"/>
              </w:rPr>
              <w:t>.</w:t>
            </w:r>
          </w:p>
          <w:p w14:paraId="74B09480" w14:textId="3764DD32" w:rsidR="002D0553" w:rsidRPr="00CA7AD0" w:rsidRDefault="002D0553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</w:p>
        </w:tc>
      </w:tr>
      <w:tr w:rsidR="003113BF" w:rsidRPr="000C3278" w14:paraId="3543E43C" w14:textId="77777777" w:rsidTr="006F2819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32E6853" w14:textId="412ED841" w:rsidR="003113BF" w:rsidRPr="00C661E4" w:rsidRDefault="003113BF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2.</w:t>
            </w:r>
            <w:r>
              <w:rPr>
                <w:color w:val="auto"/>
                <w:sz w:val="16"/>
              </w:rPr>
              <w:tab/>
              <w:t>Ordermutatie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842AA00" w14:textId="77777777" w:rsidR="003113BF" w:rsidRDefault="003113BF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in ontvangst nemen van wijzigingsaanvragen (bijv. hoeveelheid, leverdatum) op klantorders;</w:t>
            </w:r>
          </w:p>
          <w:p w14:paraId="1661078D" w14:textId="7400985C" w:rsidR="003113BF" w:rsidRDefault="003113BF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intern nagaan of wijziging mogelijk is;</w:t>
            </w:r>
          </w:p>
          <w:p w14:paraId="166500E9" w14:textId="43263FFC" w:rsidR="003113BF" w:rsidRPr="00C661E4" w:rsidRDefault="003113BF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invoeren van orderwijzigingen in het systeem.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8810CCC" w14:textId="77777777" w:rsidR="003113BF" w:rsidRDefault="003113BF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tijdige afstemming intern;</w:t>
            </w:r>
          </w:p>
          <w:p w14:paraId="3BE0AC6F" w14:textId="7B4AB9F9" w:rsidR="003113BF" w:rsidRPr="00C661E4" w:rsidRDefault="003113BF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juiste, volledige verwerking mutaties.</w:t>
            </w:r>
          </w:p>
        </w:tc>
      </w:tr>
      <w:tr w:rsidR="002D0553" w:rsidRPr="000C3278" w14:paraId="4A3E3404" w14:textId="77777777" w:rsidTr="006F2819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1125079B" w:rsidR="002D0553" w:rsidRPr="00CA7AD0" w:rsidRDefault="002D0553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2.</w:t>
            </w:r>
            <w:r w:rsidRPr="00C661E4">
              <w:rPr>
                <w:color w:val="auto"/>
                <w:sz w:val="16"/>
              </w:rPr>
              <w:tab/>
            </w:r>
            <w:r w:rsidR="00207C07">
              <w:rPr>
                <w:color w:val="auto"/>
                <w:sz w:val="16"/>
              </w:rPr>
              <w:t>Informatievoorziening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312E519" w14:textId="53BF318E" w:rsidR="002D0553" w:rsidRDefault="002D0553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-</w:t>
            </w:r>
            <w:r w:rsidRPr="00C661E4">
              <w:rPr>
                <w:color w:val="auto"/>
                <w:sz w:val="16"/>
              </w:rPr>
              <w:tab/>
            </w:r>
            <w:r w:rsidR="004577BA">
              <w:rPr>
                <w:color w:val="auto"/>
                <w:sz w:val="16"/>
              </w:rPr>
              <w:t>op de hoogte houden van de klant over (doorgekregen) bijzonderheden m.b.t. bestellingen;</w:t>
            </w:r>
          </w:p>
          <w:p w14:paraId="46AEADCB" w14:textId="77777777" w:rsidR="004577BA" w:rsidRDefault="004577BA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beantwoorden van (eerstelijns)vragen van klanten over de stand van zaken m.b.t. leveringen</w:t>
            </w:r>
            <w:r w:rsidR="003113BF">
              <w:rPr>
                <w:color w:val="auto"/>
                <w:sz w:val="16"/>
              </w:rPr>
              <w:t>;</w:t>
            </w:r>
          </w:p>
          <w:p w14:paraId="4C249E97" w14:textId="3C7716B7" w:rsidR="003113BF" w:rsidRPr="00CA7AD0" w:rsidRDefault="003113BF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aannemen, registreren en doorgeven van klachten.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B31A000" w14:textId="6E5D09BA" w:rsidR="006F09F3" w:rsidRDefault="002D0553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-</w:t>
            </w:r>
            <w:r w:rsidRPr="00C661E4">
              <w:rPr>
                <w:color w:val="auto"/>
                <w:sz w:val="16"/>
              </w:rPr>
              <w:tab/>
            </w:r>
            <w:r w:rsidR="004577BA">
              <w:rPr>
                <w:color w:val="auto"/>
                <w:sz w:val="16"/>
              </w:rPr>
              <w:t>effectiviteit communicatie;</w:t>
            </w:r>
          </w:p>
          <w:p w14:paraId="024B1E55" w14:textId="31AE928D" w:rsidR="004577BA" w:rsidRDefault="004577BA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klanttevredenheid</w:t>
            </w:r>
            <w:r w:rsidR="003113BF">
              <w:rPr>
                <w:color w:val="auto"/>
                <w:sz w:val="16"/>
              </w:rPr>
              <w:t>;</w:t>
            </w:r>
          </w:p>
          <w:p w14:paraId="1138FFF8" w14:textId="5124C04E" w:rsidR="003113BF" w:rsidRPr="00CA7AD0" w:rsidRDefault="003113BF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correcte vastlegging klachten.</w:t>
            </w:r>
          </w:p>
          <w:p w14:paraId="71B1BA1F" w14:textId="0D9CB28C" w:rsidR="002D0553" w:rsidRPr="00CA7AD0" w:rsidRDefault="002D0553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</w:p>
        </w:tc>
      </w:tr>
      <w:tr w:rsidR="00A55688" w:rsidRPr="000C3278" w14:paraId="3707B43D" w14:textId="77777777" w:rsidTr="006F2819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580071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6F2819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D9A605A" w14:textId="4285268B" w:rsidR="00A55688" w:rsidRPr="00CA7AD0" w:rsidRDefault="002D0553" w:rsidP="00580071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661E4">
              <w:rPr>
                <w:color w:val="auto"/>
                <w:sz w:val="16"/>
              </w:rPr>
              <w:t>-</w:t>
            </w:r>
            <w:r w:rsidRPr="00C661E4">
              <w:rPr>
                <w:color w:val="auto"/>
                <w:sz w:val="16"/>
              </w:rPr>
              <w:tab/>
            </w:r>
            <w:r w:rsidR="00EA7842" w:rsidRPr="00DD046C">
              <w:rPr>
                <w:color w:val="auto"/>
                <w:sz w:val="16"/>
              </w:rPr>
              <w:t>Eenzijdige houding en belasting van de oog- en rugspieren bij het werken met de computer.</w:t>
            </w:r>
          </w:p>
        </w:tc>
      </w:tr>
      <w:tr w:rsidR="00A55688" w:rsidRPr="00CA7AD0" w14:paraId="36F9CE95" w14:textId="77777777" w:rsidTr="006F2819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43CED5E1" w:rsidR="00A55688" w:rsidRPr="00CA7AD0" w:rsidRDefault="00A55688" w:rsidP="00580071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Datum: </w:t>
            </w:r>
            <w:r w:rsidR="00361916">
              <w:rPr>
                <w:color w:val="auto"/>
                <w:sz w:val="16"/>
                <w:lang w:bidi="x-none"/>
              </w:rPr>
              <w:t xml:space="preserve">november </w:t>
            </w:r>
            <w:r w:rsidR="00265C0F">
              <w:rPr>
                <w:color w:val="auto"/>
                <w:sz w:val="16"/>
                <w:lang w:bidi="x-none"/>
              </w:rPr>
              <w:t>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7FEF5341" w:rsidR="00A55688" w:rsidRPr="00CA7AD0" w:rsidRDefault="00A55688" w:rsidP="00580071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Functiegroep: 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proofErr w:type="spellStart"/>
            <w:r w:rsidR="00265C0F">
              <w:rPr>
                <w:color w:val="auto"/>
                <w:sz w:val="16"/>
                <w:lang w:bidi="x-none"/>
              </w:rPr>
              <w:t>n.t.b</w:t>
            </w:r>
            <w:proofErr w:type="spellEnd"/>
            <w:r w:rsidR="00265C0F">
              <w:rPr>
                <w:color w:val="auto"/>
                <w:sz w:val="16"/>
                <w:lang w:bidi="x-none"/>
              </w:rPr>
              <w:t>.</w:t>
            </w:r>
          </w:p>
        </w:tc>
      </w:tr>
    </w:tbl>
    <w:p w14:paraId="502C5CA4" w14:textId="3ED7151B" w:rsidR="00580071" w:rsidRPr="00545694" w:rsidRDefault="00580071" w:rsidP="00580071">
      <w:pPr>
        <w:spacing w:line="240" w:lineRule="auto"/>
        <w:rPr>
          <w:color w:val="auto"/>
          <w:sz w:val="14"/>
          <w:szCs w:val="14"/>
        </w:rPr>
      </w:pPr>
      <w:r w:rsidRPr="00545694">
        <w:rPr>
          <w:color w:val="auto"/>
          <w:sz w:val="14"/>
          <w:szCs w:val="14"/>
        </w:rPr>
        <w:t>F1994</w:t>
      </w:r>
      <w:r>
        <w:rPr>
          <w:color w:val="auto"/>
          <w:sz w:val="14"/>
          <w:szCs w:val="14"/>
        </w:rPr>
        <w:t>61</w:t>
      </w:r>
      <w:r>
        <w:rPr>
          <w:color w:val="auto"/>
          <w:sz w:val="14"/>
          <w:szCs w:val="14"/>
        </w:rPr>
        <w:t>/</w:t>
      </w:r>
      <w:proofErr w:type="spellStart"/>
      <w:r w:rsidRPr="00545694">
        <w:rPr>
          <w:color w:val="auto"/>
          <w:sz w:val="14"/>
          <w:szCs w:val="14"/>
        </w:rPr>
        <w:t>mj</w:t>
      </w:r>
      <w:proofErr w:type="spellEnd"/>
      <w:r w:rsidRPr="00545694">
        <w:rPr>
          <w:color w:val="auto"/>
          <w:sz w:val="14"/>
          <w:szCs w:val="14"/>
        </w:rPr>
        <w:t>/</w:t>
      </w:r>
      <w:proofErr w:type="spellStart"/>
      <w:r w:rsidRPr="00545694">
        <w:rPr>
          <w:color w:val="auto"/>
          <w:sz w:val="14"/>
          <w:szCs w:val="14"/>
        </w:rPr>
        <w:t>ek</w:t>
      </w:r>
      <w:proofErr w:type="spellEnd"/>
      <w:r w:rsidRPr="00545694">
        <w:rPr>
          <w:color w:val="auto"/>
          <w:sz w:val="14"/>
          <w:szCs w:val="14"/>
        </w:rPr>
        <w:t>/</w:t>
      </w:r>
      <w:r>
        <w:rPr>
          <w:color w:val="auto"/>
          <w:sz w:val="14"/>
          <w:szCs w:val="14"/>
        </w:rPr>
        <w:t>250220</w:t>
      </w:r>
    </w:p>
    <w:p w14:paraId="54225847" w14:textId="3D21AE66" w:rsidR="001A634F" w:rsidRPr="001A634F" w:rsidRDefault="001A634F" w:rsidP="00580071">
      <w:pPr>
        <w:tabs>
          <w:tab w:val="left" w:pos="1843"/>
        </w:tabs>
        <w:spacing w:line="240" w:lineRule="auto"/>
        <w:rPr>
          <w:sz w:val="16"/>
        </w:rPr>
      </w:pPr>
      <w:bookmarkStart w:id="0" w:name="_GoBack"/>
      <w:bookmarkEnd w:id="0"/>
    </w:p>
    <w:sectPr w:rsidR="001A634F" w:rsidRPr="001A634F" w:rsidSect="00580071">
      <w:headerReference w:type="default" r:id="rId6"/>
      <w:footerReference w:type="default" r:id="rId7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DCFB2" w14:textId="77777777" w:rsidR="00097387" w:rsidRDefault="00097387" w:rsidP="001073D2">
      <w:pPr>
        <w:spacing w:line="240" w:lineRule="auto"/>
      </w:pPr>
      <w:r>
        <w:separator/>
      </w:r>
    </w:p>
  </w:endnote>
  <w:endnote w:type="continuationSeparator" w:id="0">
    <w:p w14:paraId="69BA46BA" w14:textId="77777777" w:rsidR="00097387" w:rsidRDefault="0009738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41645823" w:rsidR="00A55688" w:rsidRDefault="00A55688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  <w:color w:val="auto"/>
      </w:rPr>
    </w:pPr>
    <w:r w:rsidRPr="00CA7AD0">
      <w:rPr>
        <w:color w:val="auto"/>
        <w:sz w:val="16"/>
      </w:rPr>
      <w:t xml:space="preserve">Opgesteld door EVZ </w:t>
    </w:r>
    <w:proofErr w:type="spellStart"/>
    <w:r w:rsidRPr="00CA7AD0">
      <w:rPr>
        <w:color w:val="auto"/>
        <w:sz w:val="16"/>
      </w:rPr>
      <w:t>organisatie-advies</w:t>
    </w:r>
    <w:proofErr w:type="spellEnd"/>
    <w:r w:rsidRPr="00CA7AD0">
      <w:rPr>
        <w:color w:val="auto"/>
        <w:sz w:val="16"/>
      </w:rPr>
      <w:t xml:space="preserve"> in opdracht van</w:t>
    </w:r>
    <w:r w:rsidRPr="00CA7AD0">
      <w:rPr>
        <w:color w:val="auto"/>
        <w:sz w:val="16"/>
      </w:rPr>
      <w:tab/>
    </w:r>
    <w:r w:rsidR="005930FC">
      <w:rPr>
        <w:color w:val="auto"/>
        <w:sz w:val="16"/>
      </w:rPr>
      <w:t xml:space="preserve">medewerker </w:t>
    </w:r>
    <w:r w:rsidR="001C7F41">
      <w:rPr>
        <w:color w:val="auto"/>
        <w:sz w:val="16"/>
      </w:rPr>
      <w:t>order</w:t>
    </w:r>
    <w:r w:rsidR="005930FC">
      <w:rPr>
        <w:color w:val="auto"/>
        <w:sz w:val="16"/>
      </w:rPr>
      <w:t xml:space="preserve"> entry</w:t>
    </w:r>
    <w:r w:rsidR="001A634F">
      <w:rPr>
        <w:color w:val="auto"/>
        <w:sz w:val="16"/>
      </w:rPr>
      <w:t xml:space="preserve"> </w:t>
    </w:r>
    <w:r w:rsidRPr="00CA7AD0">
      <w:rPr>
        <w:color w:val="auto"/>
        <w:sz w:val="16"/>
      </w:rPr>
      <w:t>/</w:t>
    </w:r>
    <w:r w:rsidR="00580071">
      <w:rPr>
        <w:color w:val="auto"/>
        <w:sz w:val="16"/>
      </w:rPr>
      <w:t xml:space="preserve"> </w:t>
    </w:r>
    <w:r w:rsidRPr="00580071">
      <w:rPr>
        <w:rStyle w:val="Paginanummer"/>
        <w:color w:val="auto"/>
        <w:sz w:val="16"/>
        <w:szCs w:val="16"/>
      </w:rPr>
      <w:fldChar w:fldCharType="begin"/>
    </w:r>
    <w:r w:rsidRPr="00580071">
      <w:rPr>
        <w:rStyle w:val="Paginanummer"/>
        <w:color w:val="auto"/>
        <w:sz w:val="16"/>
        <w:szCs w:val="16"/>
      </w:rPr>
      <w:instrText xml:space="preserve"> PAGE </w:instrText>
    </w:r>
    <w:r w:rsidRPr="00580071">
      <w:rPr>
        <w:rStyle w:val="Paginanummer"/>
        <w:color w:val="auto"/>
        <w:sz w:val="16"/>
        <w:szCs w:val="16"/>
      </w:rPr>
      <w:fldChar w:fldCharType="separate"/>
    </w:r>
    <w:r w:rsidR="001A634F" w:rsidRPr="00580071">
      <w:rPr>
        <w:rStyle w:val="Paginanummer"/>
        <w:noProof/>
        <w:color w:val="auto"/>
        <w:sz w:val="16"/>
        <w:szCs w:val="16"/>
      </w:rPr>
      <w:t>1</w:t>
    </w:r>
    <w:r w:rsidRPr="00580071">
      <w:rPr>
        <w:rStyle w:val="Paginanummer"/>
        <w:color w:val="auto"/>
        <w:sz w:val="16"/>
        <w:szCs w:val="16"/>
      </w:rPr>
      <w:fldChar w:fldCharType="end"/>
    </w:r>
  </w:p>
  <w:p w14:paraId="786C0324" w14:textId="62C17310" w:rsidR="001A634F" w:rsidRPr="00CA7AD0" w:rsidRDefault="001A634F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color w:val="auto"/>
        <w:sz w:val="16"/>
      </w:rPr>
    </w:pPr>
    <w:r>
      <w:rPr>
        <w:color w:val="auto"/>
        <w:sz w:val="16"/>
      </w:rPr>
      <w:t>NBPW</w:t>
    </w:r>
    <w:r w:rsidRPr="00CA7AD0">
      <w:rPr>
        <w:color w:val="auto"/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CCDC1" w14:textId="77777777" w:rsidR="00097387" w:rsidRDefault="00097387" w:rsidP="001073D2">
      <w:pPr>
        <w:spacing w:line="240" w:lineRule="auto"/>
      </w:pPr>
      <w:r>
        <w:separator/>
      </w:r>
    </w:p>
  </w:footnote>
  <w:footnote w:type="continuationSeparator" w:id="0">
    <w:p w14:paraId="56D24395" w14:textId="77777777" w:rsidR="00097387" w:rsidRDefault="0009738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777DBC63" w:rsidR="00A55688" w:rsidRPr="00CA7AD0" w:rsidRDefault="00EE71A3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  <w:rPr>
        <w:color w:val="auto"/>
      </w:rPr>
    </w:pPr>
    <w:r w:rsidRPr="00FF5B7D">
      <w:rPr>
        <w:noProof/>
        <w:color w:val="auto"/>
        <w:lang w:val="en-US" w:eastAsia="nl-NL"/>
      </w:rPr>
      <w:drawing>
        <wp:anchor distT="0" distB="0" distL="114300" distR="114300" simplePos="0" relativeHeight="251658240" behindDoc="0" locked="0" layoutInCell="1" allowOverlap="1" wp14:anchorId="4398B932" wp14:editId="62BB283B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688" w:rsidRPr="00CA7AD0">
      <w:rPr>
        <w:color w:val="auto"/>
      </w:rPr>
      <w:t>F</w:t>
    </w:r>
    <w:r w:rsidR="001D29D0">
      <w:rPr>
        <w:color w:val="auto"/>
      </w:rPr>
      <w:t>unctiefamil</w:t>
    </w:r>
    <w:r w:rsidR="00A55688" w:rsidRPr="00CA7AD0">
      <w:rPr>
        <w:color w:val="auto"/>
      </w:rPr>
      <w:t xml:space="preserve">ie: </w:t>
    </w:r>
    <w:r w:rsidR="00A55688">
      <w:rPr>
        <w:color w:val="auto"/>
      </w:rPr>
      <w:t>Overig</w:t>
    </w:r>
    <w:r w:rsidR="00A55688" w:rsidRPr="00CA7AD0">
      <w:rPr>
        <w:color w:val="auto"/>
      </w:rPr>
      <w:tab/>
    </w:r>
    <w:r w:rsidR="00A55688">
      <w:rPr>
        <w:color w:val="auto"/>
        <w:lang w:eastAsia="nl-NL"/>
      </w:rPr>
      <w:tab/>
      <w:t xml:space="preserve">Functienummer: </w:t>
    </w:r>
    <w:r w:rsidR="00265C0F">
      <w:rPr>
        <w:color w:val="auto"/>
        <w:lang w:eastAsia="nl-NL"/>
      </w:rPr>
      <w:t>O.0</w:t>
    </w:r>
    <w:r w:rsidR="00935B14">
      <w:rPr>
        <w:color w:val="auto"/>
        <w:lang w:eastAsia="nl-NL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518F9"/>
    <w:rsid w:val="00097387"/>
    <w:rsid w:val="000D655A"/>
    <w:rsid w:val="001304B6"/>
    <w:rsid w:val="001A634F"/>
    <w:rsid w:val="001C7F41"/>
    <w:rsid w:val="001D29D0"/>
    <w:rsid w:val="00207C07"/>
    <w:rsid w:val="00265C0F"/>
    <w:rsid w:val="002D0553"/>
    <w:rsid w:val="003113BF"/>
    <w:rsid w:val="00361916"/>
    <w:rsid w:val="004577BA"/>
    <w:rsid w:val="004E5E02"/>
    <w:rsid w:val="00523F23"/>
    <w:rsid w:val="00580071"/>
    <w:rsid w:val="005930FC"/>
    <w:rsid w:val="00654C2A"/>
    <w:rsid w:val="006F09F3"/>
    <w:rsid w:val="006F2819"/>
    <w:rsid w:val="007866C1"/>
    <w:rsid w:val="008239A5"/>
    <w:rsid w:val="008909F0"/>
    <w:rsid w:val="00935B14"/>
    <w:rsid w:val="00945C0A"/>
    <w:rsid w:val="009619C2"/>
    <w:rsid w:val="00A55688"/>
    <w:rsid w:val="00B1024F"/>
    <w:rsid w:val="00B67563"/>
    <w:rsid w:val="00C96E97"/>
    <w:rsid w:val="00E275AE"/>
    <w:rsid w:val="00EA7842"/>
    <w:rsid w:val="00ED6789"/>
    <w:rsid w:val="00EE71A3"/>
    <w:rsid w:val="00FB59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265C0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935B1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35B14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98E6BF-6011-4C62-B12C-DE85E353BF7E}"/>
</file>

<file path=customXml/itemProps2.xml><?xml version="1.0" encoding="utf-8"?>
<ds:datastoreItem xmlns:ds="http://schemas.openxmlformats.org/officeDocument/2006/customXml" ds:itemID="{F875C27F-5C65-4B59-9271-5BE397DAD361}"/>
</file>

<file path=customXml/itemProps3.xml><?xml version="1.0" encoding="utf-8"?>
<ds:datastoreItem xmlns:ds="http://schemas.openxmlformats.org/officeDocument/2006/customXml" ds:itemID="{B5CCBADA-74CA-4744-A499-AA40EBD7C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10</cp:revision>
  <cp:lastPrinted>2011-08-04T12:13:00Z</cp:lastPrinted>
  <dcterms:created xsi:type="dcterms:W3CDTF">2019-10-02T08:49:00Z</dcterms:created>
  <dcterms:modified xsi:type="dcterms:W3CDTF">2020-02-25T11:03:00Z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